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仿宋_GB2312" w:hAnsi="仿宋_GB2312" w:eastAsia="仿宋_GB2312" w:cs="仿宋_GB2312"/>
          <w:color w:val="000000"/>
          <w:kern w:val="0"/>
          <w:sz w:val="32"/>
          <w:szCs w:val="32"/>
          <w:highlight w:val="none"/>
          <w:lang w:val="en-US" w:eastAsia="zh-CN"/>
        </w:rPr>
      </w:pPr>
      <w:bookmarkStart w:id="0" w:name="_GoBack"/>
      <w:bookmarkEnd w:id="0"/>
      <w:r>
        <w:rPr>
          <w:rFonts w:hint="eastAsia" w:ascii="仿宋_GB2312" w:hAnsi="仿宋_GB2312" w:eastAsia="仿宋_GB2312" w:cs="仿宋_GB2312"/>
          <w:color w:val="000000"/>
          <w:kern w:val="0"/>
          <w:sz w:val="32"/>
          <w:szCs w:val="32"/>
          <w:highlight w:val="none"/>
          <w:lang w:val="en-US" w:eastAsia="zh-CN"/>
        </w:rPr>
        <w:t>附件：</w:t>
      </w:r>
    </w:p>
    <w:p>
      <w:pPr>
        <w:pStyle w:val="9"/>
        <w:keepNext w:val="0"/>
        <w:keepLines w:val="0"/>
        <w:widowControl/>
        <w:suppressLineNumbers w:val="0"/>
        <w:spacing w:before="0" w:beforeAutospacing="0" w:after="0" w:afterAutospacing="0"/>
        <w:ind w:left="0" w:right="0" w:firstLine="0"/>
        <w:jc w:val="center"/>
        <w:rPr>
          <w:rFonts w:ascii="方正小标宋简体" w:hAnsi="黑体" w:eastAsia="方正小标宋简体" w:cs="宋体"/>
          <w:color w:val="000000"/>
          <w:kern w:val="0"/>
          <w:sz w:val="36"/>
          <w:szCs w:val="36"/>
          <w:highlight w:val="none"/>
        </w:rPr>
      </w:pPr>
      <w:r>
        <w:rPr>
          <w:rFonts w:hint="eastAsia" w:ascii="方正小标宋简体" w:hAnsi="黑体" w:eastAsia="方正小标宋简体" w:cs="宋体"/>
          <w:color w:val="000000"/>
          <w:kern w:val="0"/>
          <w:sz w:val="36"/>
          <w:szCs w:val="36"/>
          <w:highlight w:val="none"/>
        </w:rPr>
        <w:t>采购需求</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黑体" w:hAnsi="黑体" w:eastAsia="黑体" w:cs="宋体"/>
          <w:kern w:val="0"/>
          <w:sz w:val="28"/>
          <w:szCs w:val="28"/>
          <w:highlight w:val="none"/>
        </w:rPr>
      </w:pPr>
      <w:r>
        <w:rPr>
          <w:rFonts w:hint="eastAsia" w:ascii="黑体" w:hAnsi="黑体" w:eastAsia="黑体" w:cs="宋体"/>
          <w:kern w:val="0"/>
          <w:sz w:val="28"/>
          <w:szCs w:val="28"/>
          <w:highlight w:val="none"/>
        </w:rPr>
        <w:t xml:space="preserve">一、项目概况 </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default"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rPr>
        <w:t>1.项目名称：</w:t>
      </w:r>
      <w:r>
        <w:rPr>
          <w:rFonts w:hint="eastAsia" w:ascii="仿宋_GB2312" w:hAnsi="宋体" w:eastAsia="仿宋_GB2312" w:cs="宋体"/>
          <w:color w:val="000000"/>
          <w:kern w:val="0"/>
          <w:sz w:val="28"/>
          <w:szCs w:val="28"/>
          <w:highlight w:val="none"/>
          <w:lang w:val="en-US" w:eastAsia="zh-CN" w:bidi="ar-SA"/>
        </w:rPr>
        <w:t>松江区“无废城市”数字化管理平台网络安全等级保护复测项目</w:t>
      </w:r>
    </w:p>
    <w:p>
      <w:pPr>
        <w:keepNext w:val="0"/>
        <w:keepLines w:val="0"/>
        <w:pageBreakBefore w:val="0"/>
        <w:widowControl/>
        <w:kinsoku/>
        <w:wordWrap/>
        <w:overflowPunct/>
        <w:topLinePunct w:val="0"/>
        <w:autoSpaceDE/>
        <w:autoSpaceDN/>
        <w:bidi w:val="0"/>
        <w:spacing w:line="440" w:lineRule="exact"/>
        <w:ind w:firstLine="560" w:firstLineChars="200"/>
        <w:jc w:val="left"/>
        <w:rPr>
          <w:rFonts w:ascii="仿宋_GB2312" w:hAnsi="Calibri"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2.项目主要内容、数量及要求：</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（1）内容：松江区生态环境局“无废城市”数字化管理平台</w:t>
      </w:r>
      <w:r>
        <w:rPr>
          <w:rFonts w:hint="eastAsia" w:ascii="仿宋_GB2312" w:hAnsi="宋体" w:eastAsia="仿宋_GB2312" w:cs="宋体"/>
          <w:color w:val="000000"/>
          <w:kern w:val="0"/>
          <w:sz w:val="28"/>
          <w:szCs w:val="28"/>
          <w:highlight w:val="none"/>
          <w:lang w:eastAsia="zh-CN"/>
        </w:rPr>
        <w:t>系统</w:t>
      </w:r>
      <w:r>
        <w:rPr>
          <w:rFonts w:hint="eastAsia" w:ascii="仿宋_GB2312" w:hAnsi="宋体" w:eastAsia="仿宋_GB2312" w:cs="宋体"/>
          <w:b/>
          <w:bCs/>
          <w:color w:val="000000"/>
          <w:kern w:val="0"/>
          <w:sz w:val="28"/>
          <w:szCs w:val="28"/>
          <w:highlight w:val="none"/>
          <w:lang w:eastAsia="zh-CN"/>
        </w:rPr>
        <w:t>三</w:t>
      </w:r>
      <w:r>
        <w:rPr>
          <w:rFonts w:hint="eastAsia" w:ascii="仿宋_GB2312" w:hAnsi="宋体" w:eastAsia="仿宋_GB2312" w:cs="宋体"/>
          <w:b/>
          <w:bCs/>
          <w:color w:val="000000"/>
          <w:kern w:val="0"/>
          <w:sz w:val="28"/>
          <w:szCs w:val="28"/>
          <w:highlight w:val="none"/>
        </w:rPr>
        <w:t>级</w:t>
      </w:r>
      <w:r>
        <w:rPr>
          <w:rFonts w:hint="eastAsia" w:ascii="仿宋_GB2312" w:hAnsi="宋体" w:eastAsia="仿宋_GB2312" w:cs="宋体"/>
          <w:color w:val="000000"/>
          <w:kern w:val="0"/>
          <w:sz w:val="28"/>
          <w:szCs w:val="28"/>
          <w:highlight w:val="none"/>
        </w:rPr>
        <w:t>网络安全等级保护测评服务。依据根据《信息安全等级保护管理办法》（公通字【2007】43号）的精神，对“无废城市”数字化管理平台</w:t>
      </w:r>
      <w:r>
        <w:rPr>
          <w:rFonts w:hint="eastAsia" w:ascii="仿宋_GB2312" w:hAnsi="宋体" w:eastAsia="仿宋_GB2312" w:cs="宋体"/>
          <w:color w:val="000000"/>
          <w:kern w:val="0"/>
          <w:sz w:val="28"/>
          <w:szCs w:val="28"/>
          <w:highlight w:val="none"/>
          <w:lang w:eastAsia="zh-CN"/>
        </w:rPr>
        <w:t>系统</w:t>
      </w:r>
      <w:r>
        <w:rPr>
          <w:rFonts w:hint="eastAsia" w:ascii="仿宋_GB2312" w:hAnsi="宋体" w:eastAsia="仿宋_GB2312" w:cs="宋体"/>
          <w:color w:val="000000"/>
          <w:kern w:val="0"/>
          <w:sz w:val="28"/>
          <w:szCs w:val="28"/>
          <w:highlight w:val="none"/>
        </w:rPr>
        <w:t>实施等级测评，以期发现信息系统和等级保护标准的差距以及存在的安全隐患，为后续的安全整改工作提供参考依据，并出具《差距分析报告》和《网络安全等级保护松江区生态环境局“无废城市”数字化管理平台</w:t>
      </w:r>
      <w:r>
        <w:rPr>
          <w:rFonts w:hint="eastAsia" w:ascii="仿宋_GB2312" w:hAnsi="宋体" w:eastAsia="仿宋_GB2312" w:cs="宋体"/>
          <w:color w:val="000000"/>
          <w:kern w:val="0"/>
          <w:sz w:val="28"/>
          <w:szCs w:val="28"/>
          <w:highlight w:val="none"/>
          <w:lang w:eastAsia="zh-CN"/>
        </w:rPr>
        <w:t>系统</w:t>
      </w:r>
      <w:r>
        <w:rPr>
          <w:rFonts w:hint="eastAsia" w:ascii="仿宋_GB2312" w:hAnsi="宋体" w:eastAsia="仿宋_GB2312" w:cs="宋体"/>
          <w:color w:val="000000"/>
          <w:kern w:val="0"/>
          <w:sz w:val="28"/>
          <w:szCs w:val="28"/>
          <w:highlight w:val="none"/>
        </w:rPr>
        <w:t>等级测评报告》。</w:t>
      </w:r>
    </w:p>
    <w:p>
      <w:pPr>
        <w:keepNext w:val="0"/>
        <w:keepLines w:val="0"/>
        <w:pageBreakBefore w:val="0"/>
        <w:widowControl/>
        <w:kinsoku/>
        <w:wordWrap/>
        <w:overflowPunct/>
        <w:topLinePunct w:val="0"/>
        <w:autoSpaceDE/>
        <w:autoSpaceDN/>
        <w:bidi w:val="0"/>
        <w:spacing w:line="440" w:lineRule="exact"/>
        <w:ind w:firstLine="560" w:firstLineChars="200"/>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（2）预算金额：</w:t>
      </w:r>
      <w:r>
        <w:rPr>
          <w:rFonts w:hint="eastAsia" w:ascii="仿宋_GB2312" w:hAnsi="宋体" w:eastAsia="仿宋_GB2312" w:cs="宋体"/>
          <w:kern w:val="0"/>
          <w:sz w:val="28"/>
          <w:szCs w:val="28"/>
          <w:highlight w:val="none"/>
          <w:lang w:val="en-US" w:eastAsia="zh-CN"/>
        </w:rPr>
        <w:t>8</w:t>
      </w:r>
      <w:r>
        <w:rPr>
          <w:rFonts w:hint="eastAsia" w:ascii="仿宋_GB2312" w:hAnsi="宋体" w:eastAsia="仿宋_GB2312" w:cs="宋体"/>
          <w:kern w:val="0"/>
          <w:sz w:val="28"/>
          <w:szCs w:val="28"/>
          <w:highlight w:val="none"/>
        </w:rPr>
        <w:t>万元;</w:t>
      </w:r>
    </w:p>
    <w:p>
      <w:pPr>
        <w:keepNext w:val="0"/>
        <w:keepLines w:val="0"/>
        <w:pageBreakBefore w:val="0"/>
        <w:widowControl/>
        <w:kinsoku/>
        <w:wordWrap/>
        <w:overflowPunct/>
        <w:topLinePunct w:val="0"/>
        <w:autoSpaceDE/>
        <w:autoSpaceDN/>
        <w:bidi w:val="0"/>
        <w:spacing w:line="440" w:lineRule="exact"/>
        <w:ind w:firstLine="560" w:firstLineChars="200"/>
        <w:jc w:val="left"/>
        <w:rPr>
          <w:rFonts w:ascii="仿宋_GB2312" w:hAnsi="宋体" w:eastAsia="仿宋_GB2312" w:cs="宋体"/>
          <w:sz w:val="28"/>
          <w:szCs w:val="28"/>
          <w:highlight w:val="none"/>
        </w:rPr>
      </w:pPr>
      <w:r>
        <w:rPr>
          <w:rFonts w:hint="eastAsia" w:ascii="仿宋_GB2312" w:hAnsi="宋体" w:eastAsia="仿宋_GB2312" w:cs="宋体"/>
          <w:color w:val="000000"/>
          <w:kern w:val="0"/>
          <w:sz w:val="28"/>
          <w:szCs w:val="28"/>
          <w:highlight w:val="none"/>
        </w:rPr>
        <w:t>（3）服务周期：</w:t>
      </w:r>
      <w:r>
        <w:rPr>
          <w:rFonts w:hint="eastAsia" w:ascii="仿宋_GB2312" w:hAnsi="宋体" w:eastAsia="仿宋_GB2312" w:cs="宋体"/>
          <w:color w:val="000000"/>
          <w:kern w:val="0"/>
          <w:sz w:val="28"/>
          <w:szCs w:val="28"/>
          <w:highlight w:val="none"/>
          <w:lang w:eastAsia="zh-CN"/>
        </w:rPr>
        <w:t>合同签订起至</w:t>
      </w:r>
      <w:r>
        <w:rPr>
          <w:rFonts w:hint="eastAsia" w:ascii="仿宋_GB2312" w:hAnsi="宋体" w:eastAsia="仿宋_GB2312" w:cs="宋体"/>
          <w:color w:val="000000"/>
          <w:kern w:val="0"/>
          <w:sz w:val="28"/>
          <w:szCs w:val="28"/>
          <w:highlight w:val="none"/>
          <w:lang w:val="en-US" w:eastAsia="zh-CN"/>
        </w:rPr>
        <w:t>2026.10.30</w:t>
      </w:r>
      <w:r>
        <w:rPr>
          <w:rFonts w:hint="eastAsia" w:ascii="仿宋_GB2312" w:hAnsi="宋体" w:eastAsia="仿宋_GB2312" w:cs="宋体"/>
          <w:color w:val="000000"/>
          <w:kern w:val="0"/>
          <w:sz w:val="28"/>
          <w:szCs w:val="28"/>
          <w:highlight w:val="none"/>
        </w:rPr>
        <w:t>。</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宋体"/>
          <w:color w:val="000000"/>
          <w:kern w:val="0"/>
          <w:sz w:val="28"/>
          <w:szCs w:val="28"/>
          <w:highlight w:val="none"/>
        </w:rPr>
      </w:pPr>
      <w:r>
        <w:rPr>
          <w:rFonts w:hint="eastAsia" w:ascii="黑体" w:hAnsi="黑体" w:eastAsia="黑体" w:cs="宋体"/>
          <w:kern w:val="0"/>
          <w:sz w:val="28"/>
          <w:szCs w:val="28"/>
          <w:highlight w:val="none"/>
        </w:rPr>
        <w:t>二、</w:t>
      </w:r>
      <w:r>
        <w:rPr>
          <w:rFonts w:hint="eastAsia" w:ascii="黑体" w:hAnsi="黑体" w:eastAsia="黑体" w:cs="宋体"/>
          <w:color w:val="000000"/>
          <w:kern w:val="0"/>
          <w:sz w:val="28"/>
          <w:szCs w:val="28"/>
          <w:highlight w:val="none"/>
        </w:rPr>
        <w:t>服务内容</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1.网络安全等级保护测评服务内容</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1.1遵循标准规范</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（1）《中华人民共和国网络安全法》</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（2）《中华人民共和国个人信息保护法》</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（3）《关于信息安全等级保护工作的实施意见》(公通字【2004】66 号)</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（4）《信息安全等级保护管理办法》 (公通字【2007】43号)</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网络安全等级保护测评主要依据标准如下：</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（1）GB/T 22239-2019《信息安全技术 网络安全等级保护基本要求》</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（2）GB/T 28448-2019《信息安全技术 网络安全等级保护测评要求》</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网络安全等级保护测评主要参考标准如下：</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 GB 17859-1999《计算机信息系统安全保护等级划分准则》</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 GB/T 20984-2022《信息安全技术 信息安全风险评估方法》</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 GB/T 22240-2020《信息安全技术 网络安全等级保护定级指南》</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（4） GB/T 36627-2018《信息安全技术 网络安全等级保护测试评估技术指南》</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（5） GB/T 36958-2018《信息安全技术 网络安全等级保护安全管理中心技术要求》</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（6） GB/T 25070-2019《信息安全技术 网络安全等级保护安全设计技术要求》</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（7） GB/T 28449-2018《信息安全技术 网络安全等级保护测评过程指南》</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（8） 《网络安全等级保护测评高风险判定实施指引（试行）》</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1.2测评工作范围及内容</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本项目测评工作范围涵盖松江区生态环境局“无废城市”数字化管理平台系统</w:t>
      </w:r>
      <w:r>
        <w:rPr>
          <w:rFonts w:hint="eastAsia" w:ascii="仿宋_GB2312" w:hAnsi="宋体" w:eastAsia="仿宋_GB2312" w:cs="宋体"/>
          <w:kern w:val="0"/>
          <w:sz w:val="28"/>
          <w:szCs w:val="28"/>
          <w:highlight w:val="none"/>
          <w:lang w:eastAsia="zh-CN"/>
        </w:rPr>
        <w:t>三</w:t>
      </w:r>
      <w:r>
        <w:rPr>
          <w:rFonts w:hint="eastAsia" w:ascii="仿宋_GB2312" w:hAnsi="宋体" w:eastAsia="仿宋_GB2312" w:cs="宋体"/>
          <w:kern w:val="0"/>
          <w:sz w:val="28"/>
          <w:szCs w:val="28"/>
          <w:highlight w:val="none"/>
        </w:rPr>
        <w:t>级网络安全等级保护测评。</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参照GB/T 22239-2019《信息安全技术网络安全等级保护基本要求》</w:t>
      </w:r>
      <w:r>
        <w:rPr>
          <w:rFonts w:hint="eastAsia" w:ascii="仿宋_GB2312" w:hAnsi="宋体" w:eastAsia="仿宋_GB2312" w:cs="宋体"/>
          <w:kern w:val="0"/>
          <w:sz w:val="28"/>
          <w:szCs w:val="28"/>
          <w:highlight w:val="none"/>
          <w:lang w:eastAsia="zh-CN"/>
        </w:rPr>
        <w:t>等</w:t>
      </w:r>
      <w:r>
        <w:rPr>
          <w:rFonts w:hint="eastAsia" w:ascii="仿宋_GB2312" w:hAnsi="宋体" w:eastAsia="仿宋_GB2312" w:cs="宋体"/>
          <w:kern w:val="0"/>
          <w:sz w:val="28"/>
          <w:szCs w:val="28"/>
          <w:highlight w:val="none"/>
        </w:rPr>
        <w:t>国家、地方的标准要求对松江区生态环境局“无废城市”数字化管理平台系统进行</w:t>
      </w:r>
      <w:r>
        <w:rPr>
          <w:rFonts w:hint="eastAsia" w:ascii="仿宋_GB2312" w:hAnsi="宋体" w:eastAsia="仿宋_GB2312" w:cs="宋体"/>
          <w:kern w:val="0"/>
          <w:sz w:val="28"/>
          <w:szCs w:val="28"/>
          <w:highlight w:val="none"/>
          <w:lang w:eastAsia="zh-CN"/>
        </w:rPr>
        <w:t>等级保护测评</w:t>
      </w:r>
      <w:r>
        <w:rPr>
          <w:rFonts w:hint="eastAsia" w:ascii="仿宋_GB2312" w:hAnsi="宋体" w:eastAsia="仿宋_GB2312" w:cs="宋体"/>
          <w:kern w:val="0"/>
          <w:sz w:val="28"/>
          <w:szCs w:val="28"/>
          <w:highlight w:val="none"/>
        </w:rPr>
        <w:t>，主要的测评内容包括但不限于以下：</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主机安全：针对主机系统的服务器、重要客户端的操作系统和数据库等对象进行安全配置核查和安全漏洞扫描，安全配置核查主要从身份鉴别、访问控制、安全审计、恶意代码防范、资源控制等方面进行评估。</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应用安全：针对应用系统等重要信息系统进行安全配置核查和安全扫描，配置检查主要从身份鉴别、访问控制、安全审计、通信完整性、通信保密性、软件容错、资源控制等方面进行安全评估。</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网络安全：针对系统网络架构、交换机路由器和防火墙等安全设备进行安全配置核查和安全漏洞扫描，安全配置核查主要从结构安全、访问控制、安全审计、边界完整性、入侵防范、恶意代码防护以及网络设备防护等方面进行安全评估。</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数据安全及备份恢复：针对系统内数据的传输和存储方式以及备份恢复情策略进行安全核查，主要从数据完整性、数据保密性、备份恢复等方面进行安全评估。</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安全物理环境：针对系统的机房、环境设备设施等对象进行核查、评估。</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安全通信网络：针对系统的网络架构、网络设备、网络防护、通信传输等对象和内容进行核查和技术测试。</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安全区域边界：针对系统的网络架构、网络设备的安全区域边界防护情况进行核查和技术测试。</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安全计算环境：针对系统的网络设备、安全设备、服务器、重要客户端的操作系统和数据库、应用系统等对象进行核查和技术测试。</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安全管理中心：针对系统的网络架构、审计系统、运维管理平台等对象进行核查和技术测试。</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安全管理制度：对安全策略、管理制度、制定与发布、评审和修订程序进行安全评估</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安全管理机构：对岗位设置、人员配备、授权和审批、沟通和合作、审核和检查程序进行安全评估</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安全管理人员：对人员录用、人员离岗、安全意识教育和培训、外部人员访问管理程序进行安全评估</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安全建设管理：对系统定级、安全方案设计、产品采购、自行软件开发、外部软件开发、工程实施、测试验收、系统交付、等级测评、服务供应商选择程序进行安全评估</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安全运维管理：对环境管理、资产管理、介质管理、设备维护管理、漏洞和风险管理、网络和系统安全管理、恶意代码防范管理、配置管理、密码管理、变更管理、备份与恢复管理、安全事件处置、应急预案管理、外包运维管理程序进行安全评估</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eastAsia" w:ascii="仿宋_GB2312" w:hAnsi="宋体" w:eastAsia="仿宋_GB2312" w:cs="宋体"/>
          <w:b/>
          <w:bCs/>
          <w:color w:val="auto"/>
          <w:kern w:val="0"/>
          <w:sz w:val="28"/>
          <w:szCs w:val="28"/>
          <w:highlight w:val="none"/>
          <w:lang w:val="en-US" w:eastAsia="zh-CN"/>
        </w:rPr>
      </w:pPr>
      <w:r>
        <w:rPr>
          <w:rFonts w:hint="eastAsia" w:ascii="仿宋_GB2312" w:hAnsi="宋体" w:eastAsia="仿宋_GB2312" w:cs="宋体"/>
          <w:kern w:val="0"/>
          <w:sz w:val="28"/>
          <w:szCs w:val="28"/>
          <w:highlight w:val="none"/>
        </w:rPr>
        <w:t>渗透性测试和漏洞扫描：通过渗透性测试和漏洞扫描等技术手段对应用系统安全性作深入的探测，发现应用系统存在的最脆弱的环节。</w:t>
      </w:r>
      <w:r>
        <w:rPr>
          <w:rFonts w:hint="eastAsia" w:ascii="仿宋_GB2312" w:hAnsi="宋体" w:eastAsia="仿宋_GB2312" w:cs="宋体"/>
          <w:b/>
          <w:bCs/>
          <w:color w:val="auto"/>
          <w:kern w:val="0"/>
          <w:sz w:val="28"/>
          <w:szCs w:val="28"/>
          <w:highlight w:val="none"/>
          <w:lang w:val="en-US" w:eastAsia="zh-CN"/>
        </w:rPr>
        <w:t>1.3测评实施</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中标单位根据等级保护测评要求开展测评工作，测评工作将涉及到松江区生态环境局被测系统的物理环境、主机系统（含操作系统和数据库）、网络系统、应用系统、数据以及管理制度与规章文件，并将查看相关的日志等信息。测评工作完成后，在15个自然日出具《差距分析报告》，并根据相关内容进行问题整改后报区生态环境局验收；</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中标单位在相关安全问题完成整改后，再进行复核测评，以保证区生态环境局的系统安全状况满足三级等保的相关要求。</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 xml:space="preserve">（1）提交文档要求 </w:t>
      </w:r>
    </w:p>
    <w:p>
      <w:pPr>
        <w:keepNext w:val="0"/>
        <w:keepLines w:val="0"/>
        <w:pageBreakBefore w:val="0"/>
        <w:widowControl/>
        <w:numPr>
          <w:ilvl w:val="0"/>
          <w:numId w:val="1"/>
        </w:numPr>
        <w:tabs>
          <w:tab w:val="clear" w:pos="840"/>
        </w:tabs>
        <w:kinsoku/>
        <w:wordWrap/>
        <w:overflowPunct/>
        <w:topLinePunct w:val="0"/>
        <w:autoSpaceDE/>
        <w:autoSpaceDN/>
        <w:bidi w:val="0"/>
        <w:spacing w:line="440" w:lineRule="exact"/>
        <w:ind w:left="1260" w:leftChars="0" w:hanging="420" w:firstLineChars="0"/>
        <w:jc w:val="left"/>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提交完整的项目等级保护测评工作计划及测评方案；</w:t>
      </w:r>
    </w:p>
    <w:p>
      <w:pPr>
        <w:keepNext w:val="0"/>
        <w:keepLines w:val="0"/>
        <w:pageBreakBefore w:val="0"/>
        <w:widowControl/>
        <w:numPr>
          <w:ilvl w:val="0"/>
          <w:numId w:val="1"/>
        </w:numPr>
        <w:tabs>
          <w:tab w:val="clear" w:pos="840"/>
        </w:tabs>
        <w:kinsoku/>
        <w:wordWrap/>
        <w:overflowPunct/>
        <w:topLinePunct w:val="0"/>
        <w:autoSpaceDE/>
        <w:autoSpaceDN/>
        <w:bidi w:val="0"/>
        <w:spacing w:line="440" w:lineRule="exact"/>
        <w:ind w:left="1260" w:leftChars="0" w:hanging="420" w:firstLineChars="0"/>
        <w:jc w:val="left"/>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提交安全测评中产生的现场测试记录表、问题汇总表等；</w:t>
      </w:r>
    </w:p>
    <w:p>
      <w:pPr>
        <w:keepNext w:val="0"/>
        <w:keepLines w:val="0"/>
        <w:pageBreakBefore w:val="0"/>
        <w:widowControl/>
        <w:numPr>
          <w:ilvl w:val="0"/>
          <w:numId w:val="1"/>
        </w:numPr>
        <w:tabs>
          <w:tab w:val="clear" w:pos="840"/>
        </w:tabs>
        <w:kinsoku/>
        <w:wordWrap/>
        <w:overflowPunct/>
        <w:topLinePunct w:val="0"/>
        <w:autoSpaceDE/>
        <w:autoSpaceDN/>
        <w:bidi w:val="0"/>
        <w:spacing w:line="440" w:lineRule="exact"/>
        <w:ind w:left="1260" w:leftChars="0" w:hanging="420" w:firstLineChars="0"/>
        <w:jc w:val="left"/>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测评工作完成后，应出具正式关于本次项目的《网络安全等级保护检测报告》，并出具符合公安部要求的等级保护测评报告。</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（2）测评成果</w:t>
      </w:r>
    </w:p>
    <w:p>
      <w:pPr>
        <w:keepNext w:val="0"/>
        <w:keepLines w:val="0"/>
        <w:pageBreakBefore w:val="0"/>
        <w:widowControl/>
        <w:kinsoku/>
        <w:wordWrap/>
        <w:overflowPunct/>
        <w:topLinePunct w:val="0"/>
        <w:autoSpaceDE/>
        <w:autoSpaceDN/>
        <w:bidi w:val="0"/>
        <w:spacing w:line="440" w:lineRule="exact"/>
        <w:ind w:firstLine="560" w:firstLineChars="200"/>
        <w:jc w:val="left"/>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完成对松江区生态环境局“无废城市”数字化管理平台系统三级等级保护的测评，并出具相关符合要求的等保测评报告。</w:t>
      </w:r>
    </w:p>
    <w:p>
      <w:pPr>
        <w:rPr>
          <w:rFonts w:hint="eastAsia"/>
          <w:highlight w:val="none"/>
        </w:rPr>
      </w:pPr>
    </w:p>
    <w:p>
      <w:pPr>
        <w:keepNext/>
        <w:widowControl/>
        <w:spacing w:line="360" w:lineRule="auto"/>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评分细则（100分）</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290"/>
        <w:gridCol w:w="1732"/>
        <w:gridCol w:w="4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44" w:type="dxa"/>
            <w:shd w:val="clear" w:color="auto" w:fill="F2F2F2"/>
            <w:vAlign w:val="center"/>
          </w:tcPr>
          <w:p>
            <w:pPr>
              <w:keepNext/>
              <w:snapToGrid w:val="0"/>
              <w:spacing w:before="120" w:line="240" w:lineRule="exact"/>
              <w:ind w:left="0" w:leftChars="0" w:right="0" w:rightChars="0" w:firstLine="0" w:firstLineChars="0"/>
              <w:jc w:val="center"/>
              <w:rPr>
                <w:rFonts w:hint="eastAsia" w:ascii="仿宋_GB2312" w:hAnsi="仿宋_GB2312" w:eastAsia="仿宋_GB2312" w:cs="仿宋_GB2312"/>
                <w:b/>
                <w:sz w:val="24"/>
                <w:szCs w:val="24"/>
                <w:highlight w:val="none"/>
                <w:lang w:eastAsia="zh-CN"/>
              </w:rPr>
            </w:pPr>
            <w:r>
              <w:rPr>
                <w:rFonts w:hint="eastAsia" w:ascii="仿宋_GB2312" w:hAnsi="仿宋_GB2312" w:eastAsia="仿宋_GB2312" w:cs="仿宋_GB2312"/>
                <w:b/>
                <w:sz w:val="24"/>
                <w:szCs w:val="24"/>
                <w:highlight w:val="none"/>
              </w:rPr>
              <w:t>评分</w:t>
            </w:r>
            <w:r>
              <w:rPr>
                <w:rFonts w:hint="eastAsia" w:ascii="仿宋_GB2312" w:hAnsi="仿宋_GB2312" w:eastAsia="仿宋_GB2312" w:cs="仿宋_GB2312"/>
                <w:b/>
                <w:sz w:val="24"/>
                <w:szCs w:val="24"/>
                <w:highlight w:val="none"/>
                <w:lang w:eastAsia="zh-CN"/>
              </w:rPr>
              <w:t>项目</w:t>
            </w:r>
          </w:p>
        </w:tc>
        <w:tc>
          <w:tcPr>
            <w:tcW w:w="1290" w:type="dxa"/>
            <w:shd w:val="clear" w:color="auto" w:fill="F2F2F2"/>
            <w:vAlign w:val="center"/>
          </w:tcPr>
          <w:p>
            <w:pPr>
              <w:keepNext/>
              <w:snapToGrid w:val="0"/>
              <w:spacing w:before="120" w:line="240" w:lineRule="exact"/>
              <w:ind w:left="0" w:leftChars="0" w:right="0" w:rightChars="0" w:firstLine="0" w:firstLineChars="0"/>
              <w:jc w:val="center"/>
              <w:rPr>
                <w:rFonts w:hint="eastAsia" w:ascii="仿宋_GB2312" w:hAnsi="仿宋_GB2312" w:eastAsia="仿宋_GB2312" w:cs="仿宋_GB2312"/>
                <w:b/>
                <w:sz w:val="24"/>
                <w:szCs w:val="24"/>
                <w:highlight w:val="none"/>
                <w:lang w:eastAsia="zh-CN"/>
              </w:rPr>
            </w:pPr>
            <w:r>
              <w:rPr>
                <w:rFonts w:hint="eastAsia" w:ascii="仿宋_GB2312" w:hAnsi="仿宋_GB2312" w:eastAsia="仿宋_GB2312" w:cs="仿宋_GB2312"/>
                <w:b/>
                <w:sz w:val="24"/>
                <w:szCs w:val="24"/>
                <w:highlight w:val="none"/>
                <w:lang w:eastAsia="zh-CN"/>
              </w:rPr>
              <w:t>分值</w:t>
            </w:r>
          </w:p>
        </w:tc>
        <w:tc>
          <w:tcPr>
            <w:tcW w:w="1732" w:type="dxa"/>
            <w:shd w:val="clear" w:color="auto" w:fill="F2F2F2"/>
            <w:vAlign w:val="center"/>
          </w:tcPr>
          <w:p>
            <w:pPr>
              <w:keepNext/>
              <w:snapToGrid w:val="0"/>
              <w:spacing w:before="120" w:line="240" w:lineRule="exact"/>
              <w:ind w:left="0" w:leftChars="0" w:right="0" w:rightChars="0" w:firstLine="0" w:firstLineChars="0"/>
              <w:jc w:val="center"/>
              <w:rPr>
                <w:rFonts w:hint="default"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eastAsia="zh-CN"/>
              </w:rPr>
              <w:t>主</w:t>
            </w:r>
            <w:r>
              <w:rPr>
                <w:rFonts w:hint="eastAsia" w:ascii="仿宋_GB2312" w:hAnsi="仿宋_GB2312" w:eastAsia="仿宋_GB2312" w:cs="仿宋_GB2312"/>
                <w:b/>
                <w:sz w:val="24"/>
                <w:szCs w:val="24"/>
                <w:highlight w:val="none"/>
                <w:lang w:val="en-US" w:eastAsia="zh-CN"/>
              </w:rPr>
              <w:t>/客观分</w:t>
            </w:r>
          </w:p>
        </w:tc>
        <w:tc>
          <w:tcPr>
            <w:tcW w:w="4354" w:type="dxa"/>
            <w:shd w:val="clear" w:color="auto" w:fill="F2F2F2"/>
            <w:vAlign w:val="center"/>
          </w:tcPr>
          <w:p>
            <w:pPr>
              <w:keepNext/>
              <w:snapToGrid w:val="0"/>
              <w:spacing w:before="120" w:line="240" w:lineRule="exact"/>
              <w:ind w:left="0" w:leftChars="0" w:right="0" w:rightChars="0" w:firstLine="0" w:firstLineChars="0"/>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44" w:type="dxa"/>
            <w:vAlign w:val="center"/>
          </w:tcPr>
          <w:p>
            <w:pPr>
              <w:keepNext/>
              <w:snapToGrid w:val="0"/>
              <w:spacing w:before="120" w:line="240" w:lineRule="exact"/>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报价        </w:t>
            </w:r>
          </w:p>
        </w:tc>
        <w:tc>
          <w:tcPr>
            <w:tcW w:w="1290" w:type="dxa"/>
            <w:vAlign w:val="center"/>
          </w:tcPr>
          <w:p>
            <w:pPr>
              <w:keepNext w:val="0"/>
              <w:keepLines w:val="0"/>
              <w:widowControl/>
              <w:suppressLineNumbers w:val="0"/>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0"/>
                <w:sz w:val="21"/>
                <w:szCs w:val="21"/>
                <w:highlight w:val="none"/>
                <w:lang w:val="en-US" w:eastAsia="zh-CN" w:bidi="ar"/>
              </w:rPr>
              <w:t>0-20</w:t>
            </w:r>
          </w:p>
        </w:tc>
        <w:tc>
          <w:tcPr>
            <w:tcW w:w="1732" w:type="dxa"/>
            <w:vAlign w:val="center"/>
          </w:tcPr>
          <w:p>
            <w:pPr>
              <w:keepNext w:val="0"/>
              <w:keepLines w:val="0"/>
              <w:widowControl/>
              <w:suppressLineNumbers w:val="0"/>
              <w:spacing w:line="240" w:lineRule="exact"/>
              <w:jc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客观分</w:t>
            </w:r>
          </w:p>
        </w:tc>
        <w:tc>
          <w:tcPr>
            <w:tcW w:w="4354" w:type="dxa"/>
            <w:vAlign w:val="center"/>
          </w:tcPr>
          <w:p>
            <w:pPr>
              <w:keepNext w:val="0"/>
              <w:keepLines w:val="0"/>
              <w:widowControl/>
              <w:suppressLineNumbers w:val="0"/>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1"/>
                <w:szCs w:val="21"/>
                <w:highlight w:val="none"/>
                <w:lang w:val="en-US" w:eastAsia="zh-CN" w:bidi="ar"/>
              </w:rPr>
              <w:t>报价得分-(基准价/报价)×20%×100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144" w:type="dxa"/>
            <w:vAlign w:val="center"/>
          </w:tcPr>
          <w:p>
            <w:pPr>
              <w:keepNext/>
              <w:snapToGrid w:val="0"/>
              <w:spacing w:before="120" w:line="240" w:lineRule="exact"/>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服务方案</w:t>
            </w:r>
          </w:p>
        </w:tc>
        <w:tc>
          <w:tcPr>
            <w:tcW w:w="1290" w:type="dxa"/>
            <w:vAlign w:val="center"/>
          </w:tcPr>
          <w:p>
            <w:pPr>
              <w:keepNext w:val="0"/>
              <w:keepLines w:val="0"/>
              <w:widowControl/>
              <w:suppressLineNumbers w:val="0"/>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0"/>
                <w:sz w:val="21"/>
                <w:szCs w:val="21"/>
                <w:highlight w:val="none"/>
                <w:lang w:val="en-US" w:eastAsia="zh-CN" w:bidi="ar"/>
              </w:rPr>
              <w:t>0-35</w:t>
            </w:r>
          </w:p>
        </w:tc>
        <w:tc>
          <w:tcPr>
            <w:tcW w:w="1732" w:type="dxa"/>
            <w:vAlign w:val="center"/>
          </w:tcPr>
          <w:p>
            <w:pPr>
              <w:keepNext w:val="0"/>
              <w:keepLines w:val="0"/>
              <w:widowControl/>
              <w:suppressLineNumbers w:val="0"/>
              <w:spacing w:line="240" w:lineRule="exact"/>
              <w:jc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主观分</w:t>
            </w:r>
          </w:p>
        </w:tc>
        <w:tc>
          <w:tcPr>
            <w:tcW w:w="4354" w:type="dxa"/>
            <w:vAlign w:val="center"/>
          </w:tcPr>
          <w:p>
            <w:pPr>
              <w:keepNext w:val="0"/>
              <w:keepLines w:val="0"/>
              <w:widowControl/>
              <w:suppressLineNumbers w:val="0"/>
              <w:spacing w:line="24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1"/>
                <w:szCs w:val="21"/>
                <w:highlight w:val="none"/>
                <w:lang w:val="en-US" w:eastAsia="zh-CN" w:bidi="ar"/>
              </w:rPr>
              <w:t>1、服务方案工作范围清晰，具有完整的测评服务方案、项目实施计划、测评方法、风险说明及风险规避处置措施，测评内容可行性合理。方案全面、合理、准确，完全符合需求文件要求，得26-35分；较合理、准确，基本符合需求文件要求，得15-25分；基本合理、准确，部分符合需求文件要求，得1-14分；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144" w:type="dxa"/>
            <w:vAlign w:val="center"/>
          </w:tcPr>
          <w:p>
            <w:pPr>
              <w:keepNext/>
              <w:snapToGrid w:val="0"/>
              <w:spacing w:before="120" w:line="240" w:lineRule="exact"/>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项目管理方案</w:t>
            </w:r>
          </w:p>
        </w:tc>
        <w:tc>
          <w:tcPr>
            <w:tcW w:w="1290" w:type="dxa"/>
            <w:vAlign w:val="center"/>
          </w:tcPr>
          <w:p>
            <w:pPr>
              <w:keepNext w:val="0"/>
              <w:keepLines w:val="0"/>
              <w:widowControl/>
              <w:suppressLineNumbers w:val="0"/>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0"/>
                <w:sz w:val="21"/>
                <w:szCs w:val="21"/>
                <w:highlight w:val="none"/>
                <w:lang w:val="en-US" w:eastAsia="zh-CN" w:bidi="ar"/>
              </w:rPr>
              <w:t>0-20</w:t>
            </w:r>
          </w:p>
        </w:tc>
        <w:tc>
          <w:tcPr>
            <w:tcW w:w="1732" w:type="dxa"/>
            <w:vAlign w:val="center"/>
          </w:tcPr>
          <w:p>
            <w:pPr>
              <w:keepNext w:val="0"/>
              <w:keepLines w:val="0"/>
              <w:widowControl/>
              <w:suppressLineNumbers w:val="0"/>
              <w:spacing w:line="240" w:lineRule="exact"/>
              <w:jc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主观分</w:t>
            </w:r>
          </w:p>
        </w:tc>
        <w:tc>
          <w:tcPr>
            <w:tcW w:w="4354" w:type="dxa"/>
            <w:vAlign w:val="center"/>
          </w:tcPr>
          <w:p>
            <w:pPr>
              <w:keepNext w:val="0"/>
              <w:keepLines w:val="0"/>
              <w:widowControl/>
              <w:suppressLineNumbers w:val="0"/>
              <w:spacing w:line="24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1"/>
                <w:szCs w:val="21"/>
                <w:highlight w:val="none"/>
                <w:lang w:val="en-US" w:eastAsia="zh-CN" w:bidi="ar"/>
              </w:rPr>
              <w:t>2、项目管理方案：工作范围清晰，具有完整的项目管理方法论和内容。方案全面、合理、准确，完全符合需求文件要求，得14-20分；较合理、准确，基本符合需求文件要求，得7-13分；基本合理、准确，部分符合需求文件要求，得1-6分；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4" w:type="dxa"/>
            <w:vAlign w:val="center"/>
          </w:tcPr>
          <w:p>
            <w:pPr>
              <w:keepNext/>
              <w:snapToGrid w:val="0"/>
              <w:spacing w:before="120" w:line="240" w:lineRule="exact"/>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项目</w:t>
            </w:r>
            <w:r>
              <w:rPr>
                <w:rFonts w:hint="eastAsia" w:ascii="仿宋_GB2312" w:hAnsi="仿宋_GB2312" w:eastAsia="仿宋_GB2312" w:cs="仿宋_GB2312"/>
                <w:sz w:val="24"/>
                <w:szCs w:val="24"/>
                <w:highlight w:val="none"/>
                <w:lang w:eastAsia="zh-CN"/>
              </w:rPr>
              <w:t>团队</w:t>
            </w:r>
            <w:r>
              <w:rPr>
                <w:rFonts w:hint="eastAsia" w:ascii="仿宋_GB2312" w:hAnsi="仿宋_GB2312" w:eastAsia="仿宋_GB2312" w:cs="仿宋_GB2312"/>
                <w:sz w:val="24"/>
                <w:szCs w:val="24"/>
                <w:highlight w:val="none"/>
              </w:rPr>
              <w:t>人员</w:t>
            </w:r>
            <w:r>
              <w:rPr>
                <w:rFonts w:hint="eastAsia" w:ascii="仿宋_GB2312" w:hAnsi="仿宋_GB2312" w:eastAsia="仿宋_GB2312" w:cs="仿宋_GB2312"/>
                <w:sz w:val="24"/>
                <w:szCs w:val="24"/>
                <w:highlight w:val="none"/>
                <w:lang w:eastAsia="zh-CN"/>
              </w:rPr>
              <w:t>配置</w:t>
            </w:r>
          </w:p>
        </w:tc>
        <w:tc>
          <w:tcPr>
            <w:tcW w:w="1290" w:type="dxa"/>
            <w:vAlign w:val="center"/>
          </w:tcPr>
          <w:p>
            <w:pPr>
              <w:keepNext w:val="0"/>
              <w:keepLines w:val="0"/>
              <w:widowControl/>
              <w:suppressLineNumbers w:val="0"/>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0"/>
                <w:sz w:val="21"/>
                <w:szCs w:val="21"/>
                <w:highlight w:val="none"/>
                <w:lang w:val="en-US" w:eastAsia="zh-CN" w:bidi="ar"/>
              </w:rPr>
              <w:t>0-14</w:t>
            </w:r>
          </w:p>
        </w:tc>
        <w:tc>
          <w:tcPr>
            <w:tcW w:w="1732" w:type="dxa"/>
            <w:vAlign w:val="center"/>
          </w:tcPr>
          <w:p>
            <w:pPr>
              <w:keepNext w:val="0"/>
              <w:keepLines w:val="0"/>
              <w:widowControl/>
              <w:suppressLineNumbers w:val="0"/>
              <w:spacing w:line="240" w:lineRule="exact"/>
              <w:jc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主观分</w:t>
            </w:r>
          </w:p>
        </w:tc>
        <w:tc>
          <w:tcPr>
            <w:tcW w:w="4354" w:type="dxa"/>
            <w:vAlign w:val="center"/>
          </w:tcPr>
          <w:p>
            <w:pPr>
              <w:keepNext w:val="0"/>
              <w:keepLines w:val="0"/>
              <w:widowControl/>
              <w:suppressLineNumbers w:val="0"/>
              <w:spacing w:line="240" w:lineRule="exact"/>
              <w:jc w:val="left"/>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人员安置合理，技术负责人、质量负责人、数据审核人员等各类人员配置齐全、科学、符合需求，其他专业人员持证上岗情况，综合评审。各类人员配置齐全、科学、合理专业人员持证上岗等符合采购文件要求的得10-14分；各类人员配置基本齐全，专业人员持证上岗，基本符合采购文件要求得5-9分；人员配置，专业人员持证上岗等缺漏较多的得1-4分。</w:t>
            </w:r>
          </w:p>
          <w:p>
            <w:pPr>
              <w:keepNext/>
              <w:snapToGrid w:val="0"/>
              <w:spacing w:before="120" w:line="240" w:lineRule="exact"/>
              <w:ind w:left="0" w:leftChars="0" w:right="0" w:rightChars="0"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1"/>
                <w:szCs w:val="21"/>
                <w:highlight w:val="none"/>
                <w:lang w:val="en-US" w:eastAsia="zh-CN" w:bidi="ar"/>
              </w:rPr>
              <w:t>备注:</w:t>
            </w:r>
            <w:r>
              <w:rPr>
                <w:rFonts w:hint="eastAsia" w:ascii="仿宋_GB2312" w:hAnsi="仿宋_GB2312" w:eastAsia="仿宋_GB2312" w:cs="仿宋_GB2312"/>
                <w:sz w:val="21"/>
                <w:szCs w:val="21"/>
                <w:highlight w:val="none"/>
                <w:lang w:val="en-US" w:eastAsia="zh-CN"/>
              </w:rPr>
              <w:t>提供拟投入人员由投标人为其缴纳的社保证明（投标截止日前近3个月任意1个月的社保）</w:t>
            </w:r>
            <w:r>
              <w:rPr>
                <w:rFonts w:hint="eastAsia" w:ascii="仿宋_GB2312" w:hAnsi="仿宋_GB2312" w:eastAsia="仿宋_GB2312" w:cs="仿宋_GB2312"/>
                <w:color w:val="000000"/>
                <w:kern w:val="0"/>
                <w:sz w:val="21"/>
                <w:szCs w:val="21"/>
                <w:highlight w:val="none"/>
                <w:lang w:val="en-US" w:eastAsia="zh-CN" w:bidi="ar"/>
              </w:rPr>
              <w:t>，且提供相关人员证书复印件等证明材料，未提供或不符合以上条件不得分。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4" w:type="dxa"/>
            <w:vAlign w:val="center"/>
          </w:tcPr>
          <w:p>
            <w:pPr>
              <w:keepNext/>
              <w:snapToGrid w:val="0"/>
              <w:spacing w:before="120" w:line="240" w:lineRule="exact"/>
              <w:ind w:left="0" w:leftChars="0" w:right="0" w:rightChars="0"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投标人业绩</w:t>
            </w:r>
          </w:p>
        </w:tc>
        <w:tc>
          <w:tcPr>
            <w:tcW w:w="1290" w:type="dxa"/>
            <w:vAlign w:val="center"/>
          </w:tcPr>
          <w:p>
            <w:pPr>
              <w:keepNext w:val="0"/>
              <w:keepLines w:val="0"/>
              <w:widowControl/>
              <w:suppressLineNumbers w:val="0"/>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0"/>
                <w:sz w:val="21"/>
                <w:szCs w:val="21"/>
                <w:highlight w:val="none"/>
                <w:lang w:val="en-US" w:eastAsia="zh-CN" w:bidi="ar"/>
              </w:rPr>
              <w:t>0-6</w:t>
            </w:r>
          </w:p>
        </w:tc>
        <w:tc>
          <w:tcPr>
            <w:tcW w:w="1732" w:type="dxa"/>
            <w:vAlign w:val="center"/>
          </w:tcPr>
          <w:p>
            <w:pPr>
              <w:keepNext w:val="0"/>
              <w:keepLines w:val="0"/>
              <w:widowControl/>
              <w:suppressLineNumbers w:val="0"/>
              <w:spacing w:line="240" w:lineRule="exact"/>
              <w:jc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客观分</w:t>
            </w:r>
          </w:p>
        </w:tc>
        <w:tc>
          <w:tcPr>
            <w:tcW w:w="4354" w:type="dxa"/>
            <w:vAlign w:val="center"/>
          </w:tcPr>
          <w:p>
            <w:pPr>
              <w:keepNext w:val="0"/>
              <w:widowControl/>
              <w:snapToGrid/>
              <w:spacing w:before="0" w:line="240" w:lineRule="exact"/>
              <w:ind w:left="0" w:leftChars="0" w:right="0" w:rightChars="0" w:firstLine="0" w:firstLineChars="0"/>
              <w:jc w:val="left"/>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投标人提供自2022年01月01日以来等保测评服务业绩合同（以合同签订日期为准）：每提供一个得2分；最高得6分。</w:t>
            </w:r>
          </w:p>
          <w:p>
            <w:pPr>
              <w:keepNext w:val="0"/>
              <w:widowControl/>
              <w:snapToGrid/>
              <w:spacing w:before="0" w:line="240" w:lineRule="exact"/>
              <w:ind w:left="0" w:leftChars="0" w:right="0" w:rightChars="0"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1"/>
                <w:szCs w:val="21"/>
                <w:highlight w:val="none"/>
                <w:lang w:val="en-US" w:eastAsia="zh-CN" w:bidi="ar"/>
              </w:rPr>
              <w:t>注：投标文件中须提供业绩合同的扫描件/复印件,合同扫描件至少提供封面、服务内容和签字盖章页。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4" w:type="dxa"/>
            <w:vAlign w:val="center"/>
          </w:tcPr>
          <w:p>
            <w:pPr>
              <w:keepNext/>
              <w:snapToGrid w:val="0"/>
              <w:spacing w:before="120" w:line="240" w:lineRule="exact"/>
              <w:ind w:left="0" w:leftChars="0" w:right="0" w:righ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投标人实力</w:t>
            </w:r>
          </w:p>
        </w:tc>
        <w:tc>
          <w:tcPr>
            <w:tcW w:w="1290" w:type="dxa"/>
            <w:vAlign w:val="center"/>
          </w:tcPr>
          <w:p>
            <w:pPr>
              <w:keepNext w:val="0"/>
              <w:keepLines w:val="0"/>
              <w:widowControl/>
              <w:suppressLineNumbers w:val="0"/>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kern w:val="0"/>
                <w:sz w:val="21"/>
                <w:szCs w:val="21"/>
                <w:highlight w:val="none"/>
                <w:lang w:val="en-US" w:eastAsia="zh-CN" w:bidi="ar"/>
              </w:rPr>
              <w:t>0-5</w:t>
            </w:r>
          </w:p>
        </w:tc>
        <w:tc>
          <w:tcPr>
            <w:tcW w:w="1732" w:type="dxa"/>
            <w:vAlign w:val="center"/>
          </w:tcPr>
          <w:p>
            <w:pPr>
              <w:keepNext w:val="0"/>
              <w:keepLines w:val="0"/>
              <w:widowControl/>
              <w:suppressLineNumbers w:val="0"/>
              <w:spacing w:line="240" w:lineRule="exact"/>
              <w:jc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主观分</w:t>
            </w:r>
          </w:p>
        </w:tc>
        <w:tc>
          <w:tcPr>
            <w:tcW w:w="4354" w:type="dxa"/>
            <w:vAlign w:val="center"/>
          </w:tcPr>
          <w:p>
            <w:pPr>
              <w:keepNext w:val="0"/>
              <w:widowControl/>
              <w:snapToGrid/>
              <w:spacing w:before="0" w:line="240" w:lineRule="exact"/>
              <w:ind w:left="0" w:leftChars="0" w:right="0" w:rightChars="0" w:firstLine="0" w:firstLineChars="0"/>
              <w:jc w:val="left"/>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1、投标人具有中国网络安全审查认证和市场监管大数据中心（原中国网络安全审查技术与认证中心）颁发的个人信息保护合规审计服务认证证书的，得3分。</w:t>
            </w:r>
          </w:p>
          <w:p>
            <w:pPr>
              <w:keepNext w:val="0"/>
              <w:widowControl/>
              <w:snapToGrid/>
              <w:spacing w:before="0" w:line="240" w:lineRule="exact"/>
              <w:ind w:left="0" w:leftChars="0" w:right="0" w:rightChars="0" w:firstLine="0" w:firstLineChars="0"/>
              <w:jc w:val="left"/>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2、投标人具有国家计算机网络应急技术处理协调中心颁发的“网络安全能力认证”培训机构（CCSC）证书的，得2分。</w:t>
            </w:r>
          </w:p>
          <w:p>
            <w:pPr>
              <w:keepNext w:val="0"/>
              <w:widowControl/>
              <w:snapToGrid/>
              <w:spacing w:before="0" w:line="240" w:lineRule="exact"/>
              <w:ind w:left="0" w:leftChars="0" w:right="0" w:rightChars="0" w:firstLine="0" w:firstLineChars="0"/>
              <w:jc w:val="left"/>
              <w:rPr>
                <w:rFonts w:hint="eastAsia" w:ascii="仿宋_GB2312" w:hAnsi="仿宋_GB2312" w:eastAsia="仿宋_GB2312" w:cs="仿宋_GB2312"/>
                <w:sz w:val="24"/>
                <w:szCs w:val="24"/>
                <w:highlight w:val="none"/>
              </w:rPr>
            </w:pPr>
          </w:p>
        </w:tc>
      </w:tr>
    </w:tbl>
    <w:p>
      <w:pPr>
        <w:rPr>
          <w:highlight w:val="none"/>
        </w:rPr>
      </w:pPr>
    </w:p>
    <w:p>
      <w:pPr>
        <w:pStyle w:val="5"/>
        <w:rPr>
          <w:rFonts w:hint="eastAsia"/>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PMingLiU">
    <w:altName w:val="Droid Sans Fallback"/>
    <w:panose1 w:val="02010601000101010101"/>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D5DCA"/>
    <w:multiLevelType w:val="singleLevel"/>
    <w:tmpl w:val="633D5DCA"/>
    <w:lvl w:ilvl="0" w:tentative="0">
      <w:start w:val="1"/>
      <w:numFmt w:val="bullet"/>
      <w:lvlText w:val=""/>
      <w:lvlJc w:val="left"/>
      <w:pPr>
        <w:tabs>
          <w:tab w:val="left" w:pos="840"/>
        </w:tabs>
        <w:ind w:left="1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4"/>
    <w:rsid w:val="00011BA2"/>
    <w:rsid w:val="00071AED"/>
    <w:rsid w:val="000824CD"/>
    <w:rsid w:val="001265FE"/>
    <w:rsid w:val="00180FA4"/>
    <w:rsid w:val="001C18F5"/>
    <w:rsid w:val="001C5EBA"/>
    <w:rsid w:val="00201664"/>
    <w:rsid w:val="002517C5"/>
    <w:rsid w:val="00313C04"/>
    <w:rsid w:val="00321257"/>
    <w:rsid w:val="004B06F7"/>
    <w:rsid w:val="00507C42"/>
    <w:rsid w:val="005217D5"/>
    <w:rsid w:val="00540286"/>
    <w:rsid w:val="005517F2"/>
    <w:rsid w:val="00610BC8"/>
    <w:rsid w:val="00652D46"/>
    <w:rsid w:val="00697DCF"/>
    <w:rsid w:val="006F0018"/>
    <w:rsid w:val="006F1135"/>
    <w:rsid w:val="00700D77"/>
    <w:rsid w:val="0070297A"/>
    <w:rsid w:val="007341FB"/>
    <w:rsid w:val="007A21DA"/>
    <w:rsid w:val="00882C1B"/>
    <w:rsid w:val="008B0D2F"/>
    <w:rsid w:val="00926DC1"/>
    <w:rsid w:val="00965824"/>
    <w:rsid w:val="00A11586"/>
    <w:rsid w:val="00A15197"/>
    <w:rsid w:val="00A53509"/>
    <w:rsid w:val="00AA7940"/>
    <w:rsid w:val="00AB6DC5"/>
    <w:rsid w:val="00AF6CE3"/>
    <w:rsid w:val="00B84923"/>
    <w:rsid w:val="00BA4035"/>
    <w:rsid w:val="00BB61EA"/>
    <w:rsid w:val="00BC351B"/>
    <w:rsid w:val="00C30ED5"/>
    <w:rsid w:val="00CA4FA4"/>
    <w:rsid w:val="00D04BD6"/>
    <w:rsid w:val="00D3706C"/>
    <w:rsid w:val="00D60E9A"/>
    <w:rsid w:val="00DA220F"/>
    <w:rsid w:val="00DC5ED0"/>
    <w:rsid w:val="00E13D02"/>
    <w:rsid w:val="00EB0FDF"/>
    <w:rsid w:val="00F02A24"/>
    <w:rsid w:val="00F477AC"/>
    <w:rsid w:val="00F6010F"/>
    <w:rsid w:val="00F658E9"/>
    <w:rsid w:val="00FE2332"/>
    <w:rsid w:val="00FF51F4"/>
    <w:rsid w:val="010A0779"/>
    <w:rsid w:val="028412D0"/>
    <w:rsid w:val="055F6ADC"/>
    <w:rsid w:val="08C836A2"/>
    <w:rsid w:val="092D1B2B"/>
    <w:rsid w:val="0A9C0791"/>
    <w:rsid w:val="0B763DC5"/>
    <w:rsid w:val="0F8C41CD"/>
    <w:rsid w:val="0FA64CBB"/>
    <w:rsid w:val="13D92AC5"/>
    <w:rsid w:val="21446285"/>
    <w:rsid w:val="2A7C6416"/>
    <w:rsid w:val="2CE6469C"/>
    <w:rsid w:val="2DF6E2F8"/>
    <w:rsid w:val="2F7F5982"/>
    <w:rsid w:val="2F91285D"/>
    <w:rsid w:val="2FDBBA7B"/>
    <w:rsid w:val="30F50189"/>
    <w:rsid w:val="37FFD98C"/>
    <w:rsid w:val="391308D4"/>
    <w:rsid w:val="3B775E22"/>
    <w:rsid w:val="3C767958"/>
    <w:rsid w:val="3F646530"/>
    <w:rsid w:val="439B031D"/>
    <w:rsid w:val="44662362"/>
    <w:rsid w:val="457F593A"/>
    <w:rsid w:val="4C417420"/>
    <w:rsid w:val="51EF3C7F"/>
    <w:rsid w:val="54EC1043"/>
    <w:rsid w:val="55645F0F"/>
    <w:rsid w:val="58AE4C17"/>
    <w:rsid w:val="5CDBFB4D"/>
    <w:rsid w:val="5CE70879"/>
    <w:rsid w:val="5FBF2604"/>
    <w:rsid w:val="621E401E"/>
    <w:rsid w:val="62A920DC"/>
    <w:rsid w:val="67DDC75E"/>
    <w:rsid w:val="683A1F7D"/>
    <w:rsid w:val="6917336E"/>
    <w:rsid w:val="6A2D2040"/>
    <w:rsid w:val="6D5F573A"/>
    <w:rsid w:val="6DE96A2F"/>
    <w:rsid w:val="715F447E"/>
    <w:rsid w:val="721C1759"/>
    <w:rsid w:val="72414F83"/>
    <w:rsid w:val="726B1ABF"/>
    <w:rsid w:val="72C11BD7"/>
    <w:rsid w:val="797A918C"/>
    <w:rsid w:val="79995F5E"/>
    <w:rsid w:val="7DFB6A89"/>
    <w:rsid w:val="7E770923"/>
    <w:rsid w:val="7F6D956F"/>
    <w:rsid w:val="A3359759"/>
    <w:rsid w:val="D90DFABE"/>
    <w:rsid w:val="E3FDEAD1"/>
    <w:rsid w:val="EDC0DAAF"/>
    <w:rsid w:val="EFF76846"/>
    <w:rsid w:val="FDFFCDBF"/>
    <w:rsid w:val="FFC32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Body Text"/>
    <w:basedOn w:val="1"/>
    <w:next w:val="1"/>
    <w:link w:val="13"/>
    <w:qFormat/>
    <w:uiPriority w:val="0"/>
    <w:pPr>
      <w:jc w:val="center"/>
    </w:pPr>
    <w:rPr>
      <w:rFonts w:eastAsia="方正小标宋简体"/>
      <w:sz w:val="48"/>
    </w:rPr>
  </w:style>
  <w:style w:type="paragraph" w:styleId="6">
    <w:name w:val="Plain Text"/>
    <w:basedOn w:val="1"/>
    <w:qFormat/>
    <w:uiPriority w:val="0"/>
    <w:rPr>
      <w:rFonts w:hAnsi="Courier New"/>
      <w:sz w:val="20"/>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line="330" w:lineRule="atLeast"/>
      <w:ind w:firstLine="360"/>
      <w:jc w:val="left"/>
    </w:pPr>
    <w:rPr>
      <w:rFonts w:ascii="宋体" w:hAnsi="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3">
    <w:name w:val="正文文本 Char"/>
    <w:basedOn w:val="12"/>
    <w:link w:val="5"/>
    <w:qFormat/>
    <w:uiPriority w:val="0"/>
    <w:rPr>
      <w:rFonts w:ascii="Times New Roman" w:hAnsi="Times New Roman" w:eastAsia="方正小标宋简体" w:cs="Times New Roman"/>
      <w:sz w:val="48"/>
      <w:szCs w:val="20"/>
    </w:rPr>
  </w:style>
  <w:style w:type="paragraph" w:styleId="14">
    <w:name w:val="List Paragraph"/>
    <w:basedOn w:val="1"/>
    <w:link w:val="17"/>
    <w:qFormat/>
    <w:uiPriority w:val="0"/>
    <w:pPr>
      <w:ind w:firstLine="420" w:firstLineChars="200"/>
    </w:pPr>
  </w:style>
  <w:style w:type="character" w:customStyle="1" w:styleId="15">
    <w:name w:val="页眉 Char"/>
    <w:basedOn w:val="12"/>
    <w:link w:val="8"/>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列出段落 Char"/>
    <w:link w:val="14"/>
    <w:qFormat/>
    <w:uiPriority w:val="0"/>
    <w:rPr>
      <w:rFonts w:ascii="Times New Roman" w:hAnsi="Times New Roman" w:eastAsia="宋体" w:cs="Times New Roman"/>
      <w:szCs w:val="20"/>
    </w:rPr>
  </w:style>
  <w:style w:type="character" w:customStyle="1" w:styleId="18">
    <w:name w:val="MSG_EN_FONT_STYLE_NAME_TEMPLATE_ROLE_NUMBER MSG_EN_FONT_STYLE_NAME_BY_ROLE_TEXT 2_"/>
    <w:link w:val="19"/>
    <w:qFormat/>
    <w:locked/>
    <w:uiPriority w:val="0"/>
    <w:rPr>
      <w:rFonts w:ascii="PMingLiU" w:hAnsi="PMingLiU" w:eastAsia="PMingLiU" w:cs="PMingLiU"/>
      <w:spacing w:val="30"/>
      <w:sz w:val="28"/>
      <w:szCs w:val="28"/>
      <w:shd w:val="clear" w:color="auto" w:fill="FFFFFF"/>
    </w:rPr>
  </w:style>
  <w:style w:type="paragraph" w:customStyle="1" w:styleId="19">
    <w:name w:val="MSG_EN_FONT_STYLE_NAME_TEMPLATE_ROLE_NUMBER MSG_EN_FONT_STYLE_NAME_BY_ROLE_TEXT 2"/>
    <w:basedOn w:val="1"/>
    <w:link w:val="18"/>
    <w:qFormat/>
    <w:uiPriority w:val="0"/>
    <w:pPr>
      <w:shd w:val="clear" w:color="auto" w:fill="FFFFFF"/>
      <w:spacing w:after="1940" w:line="280" w:lineRule="exact"/>
      <w:jc w:val="center"/>
    </w:pPr>
    <w:rPr>
      <w:rFonts w:ascii="PMingLiU" w:hAnsi="PMingLiU" w:eastAsia="PMingLiU" w:cs="PMingLiU"/>
      <w:spacing w:val="30"/>
      <w:sz w:val="28"/>
      <w:szCs w:val="28"/>
    </w:rPr>
  </w:style>
  <w:style w:type="paragraph" w:customStyle="1" w:styleId="20">
    <w:name w:val="标书_正文"/>
    <w:basedOn w:val="1"/>
    <w:qFormat/>
    <w:uiPriority w:val="0"/>
    <w:pPr>
      <w:spacing w:line="480" w:lineRule="auto"/>
      <w:ind w:left="100" w:leftChars="100" w:right="100" w:rightChars="100" w:firstLine="200" w:firstLineChars="200"/>
    </w:pPr>
    <w:rPr>
      <w:rFonts w:ascii="宋体"/>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2934</Words>
  <Characters>3142</Characters>
  <Lines>25</Lines>
  <Paragraphs>7</Paragraphs>
  <TotalTime>22</TotalTime>
  <ScaleCrop>false</ScaleCrop>
  <LinksUpToDate>false</LinksUpToDate>
  <CharactersWithSpaces>3180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2024-12-06T00:04:00Z</dcterms:created>
  <dc:creator>Administrator</dc:creator>
  <cp:lastModifiedBy>user</cp:lastModifiedBy>
  <dcterms:modified xsi:type="dcterms:W3CDTF">2026-05-19T10:32:23Z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3A82E14D63D4C8D6B7CB0B6A0CC2C10F</vt:lpwstr>
  </property>
  <property fmtid="{D5CDD505-2E9C-101B-9397-08002B2CF9AE}" pid="4" name="KSOTemplateDocerSaveRecord">
    <vt:lpwstr>eyJoZGlkIjoiYjhmMzJkNmRhMzg4N2E2NTVhY2FkNDZlYjQ3ZGQzOWYiLCJ1c2VySWQiOiIzMDY3MjM3MjEifQ==</vt:lpwstr>
  </property>
</Properties>
</file>